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607C84DD" w14:textId="77777777" w:rsidR="00493E23" w:rsidRPr="00493E23" w:rsidRDefault="00493E23" w:rsidP="00493E23">
            <w:pPr>
              <w:pStyle w:val="Heading1"/>
              <w:outlineLvl w:val="0"/>
            </w:pPr>
            <w:r w:rsidRPr="00493E23">
              <w:t xml:space="preserve">GOVERNANCE, AUDIT, RISK MANAGEMENT and STANDARDS COMMITTEE </w:t>
            </w:r>
          </w:p>
          <w:p w14:paraId="55A88F66" w14:textId="300B99D5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46591386" w:rsidR="00A160B2" w:rsidRDefault="00493E2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493E23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2021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57861DA2" w:rsidR="00A160B2" w:rsidRDefault="00F87218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INFORMATION REPORT - </w:t>
            </w:r>
            <w:r>
              <w:rPr>
                <w:rFonts w:cs="Arial"/>
              </w:rPr>
              <w:t>Audit Progress Report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2AAD7F4E" w14:textId="77777777" w:rsidR="00493E23" w:rsidRPr="00493E23" w:rsidRDefault="00493E23" w:rsidP="00493E23">
            <w:pPr>
              <w:pStyle w:val="Infotext"/>
              <w:rPr>
                <w:rFonts w:cs="Arial"/>
              </w:rPr>
            </w:pPr>
            <w:r w:rsidRPr="00493E23">
              <w:rPr>
                <w:rFonts w:cs="Arial"/>
              </w:rPr>
              <w:t>Dawn Calvert, Director of Finance &amp; Assurance</w:t>
            </w:r>
          </w:p>
          <w:p w14:paraId="3CF266C9" w14:textId="77777777" w:rsidR="00A160B2" w:rsidRDefault="00A160B2" w:rsidP="00493E23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E3163FF" w14:textId="357A6E78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493E23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CD568AC" w14:textId="37F1C2BA" w:rsidR="00A160B2" w:rsidRDefault="00493E23" w:rsidP="00493E23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7855AE">
        <w:tc>
          <w:tcPr>
            <w:tcW w:w="3388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C232B02" w14:textId="6B65135B" w:rsidR="00A160B2" w:rsidRDefault="00493E23" w:rsidP="00F87218">
            <w:pPr>
              <w:pStyle w:val="Infotext"/>
            </w:pPr>
            <w:r>
              <w:t xml:space="preserve">Appendix 1 – </w:t>
            </w:r>
            <w:r w:rsidR="00F87218">
              <w:t>Audit Progress Report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15A4BF6B" w:rsidR="00F87218" w:rsidRDefault="00A160B2" w:rsidP="00F87218">
            <w:r w:rsidRPr="009F509C">
              <w:t xml:space="preserve">This report </w:t>
            </w:r>
            <w:r w:rsidR="00F87218" w:rsidRPr="00F87218">
              <w:t xml:space="preserve">provides the Governance, Audit, Risk Management and Standards Committee (GARMS) with an update on progress </w:t>
            </w:r>
            <w:r w:rsidR="00F87218">
              <w:t xml:space="preserve">from our external auditors on the </w:t>
            </w:r>
            <w:r w:rsidR="00F87218" w:rsidRPr="00F87218">
              <w:t>deliver</w:t>
            </w:r>
            <w:r w:rsidR="00F87218">
              <w:t>y of their r</w:t>
            </w:r>
            <w:r w:rsidR="00F87218" w:rsidRPr="00F87218">
              <w:t>esponsibilities and highlights the potential risk of there being a significant weakness in VFM arrangements relating to an identified fraud.</w:t>
            </w:r>
          </w:p>
          <w:p w14:paraId="714CBDEE" w14:textId="4F2BB7DA" w:rsidR="00A160B2" w:rsidRDefault="00A160B2" w:rsidP="00F87218">
            <w:pPr>
              <w:ind w:left="360"/>
            </w:pPr>
          </w:p>
        </w:tc>
      </w:tr>
    </w:tbl>
    <w:p w14:paraId="5884AE5D" w14:textId="77777777" w:rsidR="00F87218" w:rsidRDefault="00F87218" w:rsidP="00A160B2">
      <w:pPr>
        <w:pStyle w:val="Heading2"/>
      </w:pPr>
    </w:p>
    <w:p w14:paraId="38D63B11" w14:textId="77777777" w:rsidR="00F87218" w:rsidRDefault="00F87218">
      <w:pPr>
        <w:rPr>
          <w:rFonts w:ascii="Arial Black" w:hAnsi="Arial Black" w:cs="Arial"/>
          <w:bCs/>
          <w:sz w:val="32"/>
          <w:szCs w:val="32"/>
        </w:rPr>
      </w:pPr>
      <w:r>
        <w:br w:type="page"/>
      </w:r>
    </w:p>
    <w:p w14:paraId="53DC7DE2" w14:textId="75221D98" w:rsidR="002A2389" w:rsidRDefault="002A2389" w:rsidP="00A160B2">
      <w:pPr>
        <w:pStyle w:val="Heading2"/>
      </w:pPr>
      <w:r>
        <w:lastRenderedPageBreak/>
        <w:t>Section 2 – Report</w:t>
      </w:r>
    </w:p>
    <w:p w14:paraId="3FAE8785" w14:textId="08D38F8F" w:rsidR="00DA6A3A" w:rsidRDefault="00CE0B71" w:rsidP="009F509C">
      <w:pPr>
        <w:rPr>
          <w:bCs/>
        </w:rPr>
      </w:pPr>
      <w:r>
        <w:rPr>
          <w:bCs/>
        </w:rPr>
        <w:t xml:space="preserve">2.1 </w:t>
      </w:r>
      <w:r w:rsidR="00AC5A60">
        <w:rPr>
          <w:bCs/>
        </w:rPr>
        <w:tab/>
      </w:r>
      <w:r>
        <w:rPr>
          <w:bCs/>
        </w:rPr>
        <w:t>Th</w:t>
      </w:r>
      <w:r w:rsidR="00AC5A60">
        <w:rPr>
          <w:bCs/>
        </w:rPr>
        <w:t>e</w:t>
      </w:r>
      <w:r>
        <w:rPr>
          <w:bCs/>
        </w:rPr>
        <w:t xml:space="preserve"> </w:t>
      </w:r>
      <w:r w:rsidR="00AC5A60">
        <w:rPr>
          <w:bCs/>
        </w:rPr>
        <w:t xml:space="preserve">attached report (Appendix 1) from the Council’s external auditors </w:t>
      </w:r>
      <w:r w:rsidR="00AC5A60">
        <w:rPr>
          <w:bCs/>
        </w:rPr>
        <w:tab/>
        <w:t xml:space="preserve">Mazars provides an update on the progress of their work on the </w:t>
      </w:r>
      <w:r w:rsidR="00AC5A60">
        <w:rPr>
          <w:bCs/>
        </w:rPr>
        <w:tab/>
        <w:t xml:space="preserve">Council’s financial Statements 2020/21 and their work on the Council’s </w:t>
      </w:r>
      <w:r w:rsidR="00AC5A60">
        <w:rPr>
          <w:bCs/>
        </w:rPr>
        <w:tab/>
        <w:t xml:space="preserve">arrangements to secure economy, efficiency and effectiveness in its </w:t>
      </w:r>
      <w:r w:rsidR="00AC5A60">
        <w:rPr>
          <w:bCs/>
        </w:rPr>
        <w:tab/>
        <w:t>use of resources.</w:t>
      </w:r>
    </w:p>
    <w:p w14:paraId="30335779" w14:textId="433FF26F" w:rsidR="00AC5A60" w:rsidRDefault="00AC5A60" w:rsidP="009F509C">
      <w:pPr>
        <w:rPr>
          <w:bCs/>
        </w:rPr>
      </w:pPr>
    </w:p>
    <w:p w14:paraId="074456F5" w14:textId="712FEF18" w:rsidR="00AC5A60" w:rsidRDefault="00AC5A60" w:rsidP="009F509C">
      <w:pPr>
        <w:rPr>
          <w:bCs/>
        </w:rPr>
      </w:pPr>
      <w:r>
        <w:rPr>
          <w:bCs/>
        </w:rPr>
        <w:t>2.2</w:t>
      </w:r>
      <w:r>
        <w:rPr>
          <w:bCs/>
        </w:rPr>
        <w:tab/>
        <w:t>The report also highlights a</w:t>
      </w:r>
      <w:r w:rsidR="00871F82">
        <w:rPr>
          <w:bCs/>
        </w:rPr>
        <w:t>n</w:t>
      </w:r>
      <w:r>
        <w:rPr>
          <w:bCs/>
        </w:rPr>
        <w:t xml:space="preserve"> identified risk of </w:t>
      </w:r>
      <w:r w:rsidR="00371795">
        <w:rPr>
          <w:bCs/>
        </w:rPr>
        <w:t>s</w:t>
      </w:r>
      <w:r>
        <w:rPr>
          <w:bCs/>
        </w:rPr>
        <w:t xml:space="preserve">ignificant weakness in </w:t>
      </w:r>
      <w:r>
        <w:rPr>
          <w:bCs/>
        </w:rPr>
        <w:tab/>
        <w:t>the Council’s value for money arrangements.</w:t>
      </w:r>
    </w:p>
    <w:p w14:paraId="33730D3C" w14:textId="77777777" w:rsidR="00AC5A60" w:rsidRPr="0054321A" w:rsidRDefault="00AC5A60" w:rsidP="009F509C"/>
    <w:p w14:paraId="3469E0D9" w14:textId="77777777" w:rsidR="00213BE7" w:rsidRDefault="00213BE7" w:rsidP="00213BE7">
      <w:pPr>
        <w:pStyle w:val="Heading2"/>
      </w:pPr>
      <w:r>
        <w:t>Legal Implications</w:t>
      </w:r>
    </w:p>
    <w:p w14:paraId="687A5D43" w14:textId="1BAE14F8" w:rsidR="00DA6A3A" w:rsidRPr="00DA6A3A" w:rsidRDefault="00DA6A3A" w:rsidP="00DA6A3A">
      <w:pPr>
        <w:pStyle w:val="Heading4"/>
        <w:keepNext w:val="0"/>
        <w:spacing w:before="3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2.</w:t>
      </w:r>
      <w:r w:rsidR="00AC5A60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</w:t>
      </w:r>
      <w:r w:rsidR="00AC5A60">
        <w:rPr>
          <w:b w:val="0"/>
          <w:bCs/>
          <w:sz w:val="24"/>
          <w:szCs w:val="24"/>
        </w:rPr>
        <w:tab/>
        <w:t>There are no legal implications to this report</w:t>
      </w:r>
      <w:r w:rsidRPr="00DA6A3A">
        <w:rPr>
          <w:b w:val="0"/>
          <w:bCs/>
          <w:sz w:val="24"/>
          <w:szCs w:val="24"/>
        </w:rPr>
        <w:t>.</w:t>
      </w:r>
    </w:p>
    <w:p w14:paraId="41BB405D" w14:textId="15C91B71" w:rsidR="002A2389" w:rsidRDefault="002A2389" w:rsidP="003D2FFE">
      <w:pPr>
        <w:pStyle w:val="Heading2"/>
        <w:spacing w:after="240"/>
      </w:pPr>
      <w:r>
        <w:t>Financial Implications</w:t>
      </w:r>
    </w:p>
    <w:p w14:paraId="5A78A2E8" w14:textId="37804221" w:rsidR="00DA6A3A" w:rsidRPr="00DA6A3A" w:rsidRDefault="00DA6A3A" w:rsidP="00DA6A3A">
      <w:r>
        <w:t>2.</w:t>
      </w:r>
      <w:r w:rsidR="00AC5A60">
        <w:t>4</w:t>
      </w:r>
      <w:r>
        <w:tab/>
      </w:r>
      <w:r w:rsidRPr="00DA6A3A">
        <w:t xml:space="preserve">There are no </w:t>
      </w:r>
      <w:r w:rsidR="00871F82">
        <w:t xml:space="preserve">direct </w:t>
      </w:r>
      <w:r w:rsidRPr="00DA6A3A">
        <w:t xml:space="preserve">financial implications </w:t>
      </w:r>
      <w:r w:rsidR="00871F82">
        <w:t>of</w:t>
      </w:r>
      <w:r w:rsidRPr="00DA6A3A">
        <w:t xml:space="preserve"> this report.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0866EC0D" w14:textId="5A4E1FCD" w:rsidR="004A4A1D" w:rsidRPr="00105B8A" w:rsidRDefault="002201B3" w:rsidP="002201B3">
      <w:pPr>
        <w:rPr>
          <w:color w:val="0000FF"/>
        </w:rPr>
      </w:pPr>
      <w:r>
        <w:rPr>
          <w:rFonts w:cs="Arial"/>
          <w:szCs w:val="24"/>
          <w:lang w:val="en-US"/>
        </w:rPr>
        <w:t>2.</w:t>
      </w:r>
      <w:r w:rsidR="00AC5A60">
        <w:rPr>
          <w:rFonts w:cs="Arial"/>
          <w:szCs w:val="24"/>
          <w:lang w:val="en-US"/>
        </w:rPr>
        <w:t>5</w:t>
      </w:r>
      <w:r>
        <w:rPr>
          <w:rFonts w:cs="Arial"/>
          <w:szCs w:val="24"/>
          <w:lang w:val="en-US"/>
        </w:rPr>
        <w:tab/>
      </w:r>
      <w:r w:rsidR="004A4A1D">
        <w:rPr>
          <w:rFonts w:cs="Arial"/>
          <w:szCs w:val="24"/>
          <w:lang w:val="en-US"/>
        </w:rPr>
        <w:t xml:space="preserve">Risks included on corporate or directorate risk register? </w:t>
      </w:r>
      <w:r w:rsidR="004A4A1D">
        <w:rPr>
          <w:rFonts w:cs="Arial"/>
          <w:b/>
          <w:bCs/>
          <w:szCs w:val="24"/>
          <w:lang w:val="en-US"/>
        </w:rPr>
        <w:t>No</w:t>
      </w:r>
      <w:r w:rsidR="004A4A1D">
        <w:rPr>
          <w:rFonts w:cs="Arial"/>
          <w:szCs w:val="24"/>
          <w:lang w:val="en-US"/>
        </w:rPr>
        <w:t xml:space="preserve"> </w:t>
      </w:r>
    </w:p>
    <w:p w14:paraId="6F7A7108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4F3698" w14:textId="33733C5C" w:rsidR="004A4A1D" w:rsidRDefault="002201B3" w:rsidP="004A4A1D">
      <w:pPr>
        <w:ind w:left="-142" w:right="141" w:firstLine="142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>2.</w:t>
      </w:r>
      <w:r w:rsidR="00AC5A60">
        <w:rPr>
          <w:rFonts w:cs="Arial"/>
          <w:szCs w:val="24"/>
          <w:lang w:val="en-US" w:eastAsia="en-GB"/>
        </w:rPr>
        <w:t>6</w:t>
      </w:r>
      <w:r>
        <w:rPr>
          <w:rFonts w:cs="Arial"/>
          <w:szCs w:val="24"/>
          <w:lang w:val="en-US" w:eastAsia="en-GB"/>
        </w:rPr>
        <w:tab/>
      </w:r>
      <w:r w:rsidR="004A4A1D">
        <w:rPr>
          <w:rFonts w:cs="Arial"/>
          <w:szCs w:val="24"/>
          <w:lang w:val="en-US" w:eastAsia="en-GB"/>
        </w:rPr>
        <w:t xml:space="preserve">Separate risk register in place? </w:t>
      </w:r>
      <w:r w:rsidR="004A4A1D">
        <w:rPr>
          <w:rFonts w:cs="Arial"/>
          <w:b/>
          <w:bCs/>
          <w:szCs w:val="24"/>
          <w:lang w:val="en-US" w:eastAsia="en-GB"/>
        </w:rPr>
        <w:t>No</w:t>
      </w:r>
      <w:r w:rsidR="004A4A1D">
        <w:rPr>
          <w:rFonts w:cs="Arial"/>
          <w:szCs w:val="24"/>
          <w:lang w:val="en-US" w:eastAsia="en-GB"/>
        </w:rPr>
        <w:t xml:space="preserve"> </w:t>
      </w:r>
    </w:p>
    <w:p w14:paraId="44EE3445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15806C0" w14:textId="7031105A" w:rsidR="004A4A1D" w:rsidRDefault="002201B3" w:rsidP="002201B3">
      <w:pPr>
        <w:ind w:left="-142" w:right="141" w:firstLine="142"/>
      </w:pPr>
      <w:r>
        <w:t>2.</w:t>
      </w:r>
      <w:r w:rsidR="00AC5A60">
        <w:t>7</w:t>
      </w:r>
      <w:r>
        <w:tab/>
      </w:r>
      <w:r w:rsidR="004A4A1D">
        <w:t xml:space="preserve">The relevant risks contained in the register are attached/summarised </w:t>
      </w:r>
      <w:r>
        <w:tab/>
      </w:r>
      <w:r>
        <w:tab/>
      </w:r>
      <w:r w:rsidR="004A4A1D">
        <w:t xml:space="preserve">below. </w:t>
      </w:r>
      <w:r w:rsidR="004A4A1D">
        <w:rPr>
          <w:rFonts w:cs="Arial"/>
          <w:b/>
          <w:bCs/>
          <w:szCs w:val="24"/>
          <w:lang w:val="en-US" w:eastAsia="en-GB"/>
        </w:rPr>
        <w:t xml:space="preserve">n/a </w:t>
      </w:r>
    </w:p>
    <w:p w14:paraId="29079266" w14:textId="77777777" w:rsidR="004A4A1D" w:rsidRDefault="004A4A1D" w:rsidP="004A4A1D"/>
    <w:p w14:paraId="228811B3" w14:textId="7547378D" w:rsidR="004A4A1D" w:rsidRDefault="002201B3" w:rsidP="004A4A1D">
      <w:r>
        <w:t>2.</w:t>
      </w:r>
      <w:r w:rsidR="00AC5A60">
        <w:t>8</w:t>
      </w:r>
      <w:r>
        <w:tab/>
      </w:r>
      <w:r w:rsidR="004A4A1D">
        <w:t>The following key risks should be taken into account when</w:t>
      </w:r>
      <w:r w:rsidR="00AC5A60">
        <w:t xml:space="preserve"> considering </w:t>
      </w:r>
      <w:r w:rsidR="00AC5A60">
        <w:tab/>
      </w:r>
      <w:r w:rsidR="004A4A1D">
        <w:t>this report:</w:t>
      </w:r>
    </w:p>
    <w:p w14:paraId="591BB94F" w14:textId="77777777" w:rsidR="004A4A1D" w:rsidRDefault="004A4A1D" w:rsidP="004A4A1D">
      <w:pPr>
        <w:ind w:left="567" w:right="141" w:hanging="567"/>
        <w:rPr>
          <w:rFonts w:cs="Arial"/>
          <w:szCs w:val="24"/>
          <w:lang w:val="en-US" w:eastAsia="en-GB"/>
        </w:rPr>
      </w:pPr>
    </w:p>
    <w:tbl>
      <w:tblPr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isk description table"/>
        <w:tblDescription w:val="Risk description table listing risk management implications "/>
      </w:tblPr>
      <w:tblGrid>
        <w:gridCol w:w="3267"/>
        <w:gridCol w:w="3298"/>
        <w:gridCol w:w="2070"/>
      </w:tblGrid>
      <w:tr w:rsidR="002D2FC5" w14:paraId="40B928E5" w14:textId="77777777" w:rsidTr="00CB687A">
        <w:trPr>
          <w:tblHeader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D48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3D3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62F5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</w:p>
        </w:tc>
      </w:tr>
      <w:tr w:rsidR="004F11C6" w14:paraId="74F54195" w14:textId="77777777" w:rsidTr="00FB63E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248" w14:textId="4258C109" w:rsidR="004F11C6" w:rsidRDefault="00FB63E7" w:rsidP="00CB687A">
            <w:pPr>
              <w:spacing w:line="247" w:lineRule="auto"/>
              <w:ind w:right="141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Risk of significant weakness in the Council’s VFM arrangements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FD21" w14:textId="77777777" w:rsidR="004F11C6" w:rsidRDefault="00FB63E7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Internal audit review of system </w:t>
            </w:r>
          </w:p>
          <w:p w14:paraId="322E3F32" w14:textId="672077BB" w:rsidR="00FB63E7" w:rsidRDefault="00FB63E7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Quantification of fraud loss</w:t>
            </w:r>
          </w:p>
          <w:p w14:paraId="54DE365B" w14:textId="77777777" w:rsidR="00FB63E7" w:rsidRDefault="00FB63E7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Independent review</w:t>
            </w:r>
          </w:p>
          <w:p w14:paraId="3CD0A5E9" w14:textId="1657DFB3" w:rsidR="00FB63E7" w:rsidRDefault="00FB63E7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Management response to recommendations made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79A680" w14:textId="1F3251AE" w:rsidR="004F11C6" w:rsidRDefault="00FB63E7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  <w:r>
              <w:rPr>
                <w:rFonts w:cs="Arial"/>
                <w:szCs w:val="24"/>
                <w:lang w:val="en-US" w:eastAsia="en-GB"/>
              </w:rPr>
              <w:t>Amber</w:t>
            </w:r>
          </w:p>
        </w:tc>
      </w:tr>
    </w:tbl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3D4258A4" w14:textId="19370CA4" w:rsidR="00FD31A0" w:rsidRDefault="002201B3" w:rsidP="002201B3">
      <w:pPr>
        <w:rPr>
          <w:rFonts w:cs="Arial"/>
          <w:szCs w:val="24"/>
          <w:lang w:val="en-US"/>
        </w:rPr>
      </w:pPr>
      <w:r>
        <w:t>2.</w:t>
      </w:r>
      <w:r w:rsidR="00FB63E7">
        <w:t>9</w:t>
      </w:r>
      <w:r>
        <w:tab/>
      </w:r>
      <w:r w:rsidR="00FD31A0" w:rsidRPr="004A2543">
        <w:t xml:space="preserve">Was an Equality Impact Assessment carried out?  </w:t>
      </w:r>
      <w:r w:rsidR="00FD31A0" w:rsidRPr="00FB63E7">
        <w:rPr>
          <w:b/>
          <w:bCs/>
        </w:rPr>
        <w:t xml:space="preserve">No </w:t>
      </w:r>
      <w:r>
        <w:t xml:space="preserve">as not relevant </w:t>
      </w:r>
      <w:r w:rsidR="00FB63E7">
        <w:tab/>
      </w:r>
      <w:r>
        <w:t>to this report.</w:t>
      </w:r>
    </w:p>
    <w:p w14:paraId="1EF4F8CB" w14:textId="77777777" w:rsidR="004B4A47" w:rsidRPr="00CD57D8" w:rsidRDefault="00AC0AAB" w:rsidP="00912904">
      <w:pPr>
        <w:pStyle w:val="Heading2"/>
        <w:spacing w:after="240"/>
      </w:pPr>
      <w:r>
        <w:lastRenderedPageBreak/>
        <w:t xml:space="preserve">Council </w:t>
      </w:r>
      <w:r w:rsidR="004B4A47" w:rsidRPr="00CD57D8">
        <w:t>Priorities</w:t>
      </w:r>
    </w:p>
    <w:p w14:paraId="04BDE0CE" w14:textId="77777777" w:rsidR="002201B3" w:rsidRPr="002201B3" w:rsidRDefault="002201B3" w:rsidP="002201B3">
      <w:pPr>
        <w:rPr>
          <w:rFonts w:cs="Arial"/>
          <w:bCs/>
          <w:szCs w:val="24"/>
          <w:lang w:val="en-US"/>
        </w:rPr>
      </w:pPr>
    </w:p>
    <w:p w14:paraId="6AD0CF03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bCs/>
          <w:sz w:val="24"/>
        </w:rPr>
      </w:pPr>
      <w:r w:rsidRPr="005031DF">
        <w:rPr>
          <w:rFonts w:ascii="Arial Bold" w:hAnsi="Arial Bold"/>
          <w:b/>
          <w:sz w:val="24"/>
        </w:rPr>
        <w:t>Improving the environment and addressing climate change</w:t>
      </w:r>
    </w:p>
    <w:p w14:paraId="67A2907C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  <w:b/>
          <w:bCs/>
        </w:rPr>
      </w:pPr>
    </w:p>
    <w:p w14:paraId="628DE28D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bCs/>
          <w:sz w:val="24"/>
        </w:rPr>
      </w:pPr>
      <w:r w:rsidRPr="005031DF">
        <w:rPr>
          <w:rFonts w:ascii="Arial Bold" w:hAnsi="Arial Bold"/>
          <w:b/>
          <w:sz w:val="24"/>
        </w:rPr>
        <w:t>Tackling poverty and inequality</w:t>
      </w:r>
    </w:p>
    <w:p w14:paraId="78391E93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  <w:b/>
          <w:bCs/>
        </w:rPr>
      </w:pPr>
    </w:p>
    <w:p w14:paraId="4256E80F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bCs/>
          <w:sz w:val="24"/>
        </w:rPr>
      </w:pPr>
      <w:r w:rsidRPr="005031DF">
        <w:rPr>
          <w:rFonts w:ascii="Arial Bold" w:hAnsi="Arial Bold"/>
          <w:b/>
          <w:sz w:val="24"/>
        </w:rPr>
        <w:t>Building homes and infrastructure</w:t>
      </w:r>
    </w:p>
    <w:p w14:paraId="1B116EA1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</w:rPr>
      </w:pPr>
    </w:p>
    <w:p w14:paraId="06CDCE8A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sz w:val="24"/>
        </w:rPr>
      </w:pPr>
      <w:r w:rsidRPr="005031DF">
        <w:rPr>
          <w:rFonts w:ascii="Arial Bold" w:hAnsi="Arial Bold"/>
          <w:b/>
          <w:sz w:val="24"/>
        </w:rPr>
        <w:t>Addressing health and social care inequality</w:t>
      </w:r>
    </w:p>
    <w:p w14:paraId="20793284" w14:textId="77777777" w:rsidR="005031DF" w:rsidRPr="005031DF" w:rsidRDefault="005031DF" w:rsidP="005031DF">
      <w:pPr>
        <w:autoSpaceDE w:val="0"/>
        <w:autoSpaceDN w:val="0"/>
        <w:rPr>
          <w:rFonts w:ascii="Arial Bold" w:hAnsi="Arial Bold"/>
        </w:rPr>
      </w:pPr>
    </w:p>
    <w:p w14:paraId="6493B623" w14:textId="77777777" w:rsidR="005031DF" w:rsidRPr="005031DF" w:rsidRDefault="005031DF" w:rsidP="005031DF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="Arial Bold" w:hAnsi="Arial Bold"/>
          <w:b/>
          <w:sz w:val="24"/>
        </w:rPr>
      </w:pPr>
      <w:r w:rsidRPr="005031DF">
        <w:rPr>
          <w:rFonts w:ascii="Arial Bold" w:hAnsi="Arial Bold"/>
          <w:b/>
          <w:sz w:val="24"/>
        </w:rPr>
        <w:t>Thriving economy</w:t>
      </w:r>
    </w:p>
    <w:p w14:paraId="11BF41CC" w14:textId="0E72E549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57640BD9" w14:textId="1115DAAD" w:rsidR="00912904" w:rsidRPr="00A66326" w:rsidRDefault="00912904" w:rsidP="00912904">
      <w:r w:rsidRPr="00A66326">
        <w:t>Signed on by the Chief Financial Officer</w:t>
      </w:r>
    </w:p>
    <w:p w14:paraId="650DA37B" w14:textId="678641E3" w:rsidR="00912904" w:rsidRDefault="00912904" w:rsidP="00912904">
      <w:pPr>
        <w:rPr>
          <w:sz w:val="28"/>
        </w:rPr>
      </w:pPr>
    </w:p>
    <w:p w14:paraId="249A9F0C" w14:textId="11271FE2" w:rsidR="00714D55" w:rsidRPr="00714D55" w:rsidRDefault="00714D55" w:rsidP="00912904">
      <w:pPr>
        <w:rPr>
          <w:szCs w:val="24"/>
        </w:rPr>
      </w:pPr>
      <w:r w:rsidRPr="00714D55">
        <w:rPr>
          <w:szCs w:val="24"/>
        </w:rPr>
        <w:t>Dawn Calvert</w:t>
      </w:r>
      <w:r>
        <w:rPr>
          <w:szCs w:val="24"/>
        </w:rPr>
        <w:t>, Director of Finance &amp; Assurance</w:t>
      </w:r>
    </w:p>
    <w:p w14:paraId="53907285" w14:textId="77777777" w:rsidR="00714D55" w:rsidRPr="00A66326" w:rsidRDefault="00714D55" w:rsidP="00912904">
      <w:pPr>
        <w:rPr>
          <w:sz w:val="28"/>
        </w:rPr>
      </w:pPr>
    </w:p>
    <w:p w14:paraId="5745A2E3" w14:textId="2264001E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71F82" w:rsidRPr="00871F82">
        <w:rPr>
          <w:bCs/>
          <w:szCs w:val="24"/>
        </w:rPr>
        <w:t>24</w:t>
      </w:r>
      <w:r w:rsidR="00714D55" w:rsidRPr="00871F82">
        <w:rPr>
          <w:bCs/>
          <w:szCs w:val="24"/>
        </w:rPr>
        <w:t>/</w:t>
      </w:r>
      <w:r w:rsidR="00714D55" w:rsidRPr="00714D55">
        <w:rPr>
          <w:bCs/>
          <w:szCs w:val="24"/>
        </w:rPr>
        <w:t>11/21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6CD1FBCC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259C0E86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714D55">
        <w:t>Susan Dixson, Head of Internal Audit &amp; Corporate Anti-Fraud, 02084241420</w:t>
      </w:r>
    </w:p>
    <w:p w14:paraId="28AF6FE8" w14:textId="3C61917C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714D55"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06172315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18F54889" w14:textId="4E4564BF" w:rsidR="002A2389" w:rsidRDefault="00912904" w:rsidP="00333A4B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</w:r>
      <w:r w:rsidR="00871F82">
        <w:t>NO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ABFF" w14:textId="77777777" w:rsidR="00F157E4" w:rsidRDefault="00F157E4">
      <w:r>
        <w:separator/>
      </w:r>
    </w:p>
  </w:endnote>
  <w:endnote w:type="continuationSeparator" w:id="0">
    <w:p w14:paraId="2DF8DF2C" w14:textId="77777777" w:rsidR="00F157E4" w:rsidRDefault="00F1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0989" w14:textId="77777777" w:rsidR="00F157E4" w:rsidRDefault="00F157E4">
      <w:r>
        <w:separator/>
      </w:r>
    </w:p>
  </w:footnote>
  <w:footnote w:type="continuationSeparator" w:id="0">
    <w:p w14:paraId="1BC4FB94" w14:textId="77777777" w:rsidR="00F157E4" w:rsidRDefault="00F1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11D"/>
    <w:multiLevelType w:val="hybridMultilevel"/>
    <w:tmpl w:val="E652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B62FAE"/>
    <w:multiLevelType w:val="hybridMultilevel"/>
    <w:tmpl w:val="A96A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5BF5"/>
    <w:multiLevelType w:val="hybridMultilevel"/>
    <w:tmpl w:val="032E3C48"/>
    <w:lvl w:ilvl="0" w:tplc="F764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4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A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4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6143"/>
    <w:multiLevelType w:val="hybridMultilevel"/>
    <w:tmpl w:val="8154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070CD"/>
    <w:rsid w:val="001939BA"/>
    <w:rsid w:val="001A6EB0"/>
    <w:rsid w:val="001B441D"/>
    <w:rsid w:val="001C5225"/>
    <w:rsid w:val="001E0219"/>
    <w:rsid w:val="00213BE7"/>
    <w:rsid w:val="002201B3"/>
    <w:rsid w:val="002306D2"/>
    <w:rsid w:val="00231A1D"/>
    <w:rsid w:val="00244120"/>
    <w:rsid w:val="002559D9"/>
    <w:rsid w:val="00293F9F"/>
    <w:rsid w:val="002A2389"/>
    <w:rsid w:val="002C08E2"/>
    <w:rsid w:val="002C1794"/>
    <w:rsid w:val="002D2FC5"/>
    <w:rsid w:val="002E6637"/>
    <w:rsid w:val="002E77E3"/>
    <w:rsid w:val="00332947"/>
    <w:rsid w:val="00333A4B"/>
    <w:rsid w:val="00333EB4"/>
    <w:rsid w:val="00345915"/>
    <w:rsid w:val="00365D29"/>
    <w:rsid w:val="00371795"/>
    <w:rsid w:val="00374F22"/>
    <w:rsid w:val="003D2FFE"/>
    <w:rsid w:val="003D5F0A"/>
    <w:rsid w:val="00400032"/>
    <w:rsid w:val="0042394B"/>
    <w:rsid w:val="00473B08"/>
    <w:rsid w:val="00474B5F"/>
    <w:rsid w:val="00493E23"/>
    <w:rsid w:val="004A3CE6"/>
    <w:rsid w:val="004A4A1D"/>
    <w:rsid w:val="004B2C9D"/>
    <w:rsid w:val="004B4A47"/>
    <w:rsid w:val="004C338E"/>
    <w:rsid w:val="004E667D"/>
    <w:rsid w:val="004E6AF9"/>
    <w:rsid w:val="004F11C6"/>
    <w:rsid w:val="005031DF"/>
    <w:rsid w:val="0054321A"/>
    <w:rsid w:val="00597314"/>
    <w:rsid w:val="005A61AF"/>
    <w:rsid w:val="005D0886"/>
    <w:rsid w:val="005E384D"/>
    <w:rsid w:val="005F2181"/>
    <w:rsid w:val="005F724B"/>
    <w:rsid w:val="00606705"/>
    <w:rsid w:val="00610913"/>
    <w:rsid w:val="00625DFF"/>
    <w:rsid w:val="0063072B"/>
    <w:rsid w:val="00662891"/>
    <w:rsid w:val="006628B7"/>
    <w:rsid w:val="00675FCB"/>
    <w:rsid w:val="00696200"/>
    <w:rsid w:val="00696C79"/>
    <w:rsid w:val="006A0B87"/>
    <w:rsid w:val="006B3942"/>
    <w:rsid w:val="006C3914"/>
    <w:rsid w:val="006C4D4C"/>
    <w:rsid w:val="006D3648"/>
    <w:rsid w:val="00714D55"/>
    <w:rsid w:val="00717E8A"/>
    <w:rsid w:val="0074184E"/>
    <w:rsid w:val="00743829"/>
    <w:rsid w:val="00755F8D"/>
    <w:rsid w:val="007855AE"/>
    <w:rsid w:val="00796503"/>
    <w:rsid w:val="007B0CB6"/>
    <w:rsid w:val="007D2BDA"/>
    <w:rsid w:val="007D56C8"/>
    <w:rsid w:val="007E3934"/>
    <w:rsid w:val="007E7303"/>
    <w:rsid w:val="008212A0"/>
    <w:rsid w:val="008356B0"/>
    <w:rsid w:val="00837F53"/>
    <w:rsid w:val="00862DDC"/>
    <w:rsid w:val="00871F82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9F509C"/>
    <w:rsid w:val="00A160B2"/>
    <w:rsid w:val="00A16271"/>
    <w:rsid w:val="00A566E7"/>
    <w:rsid w:val="00A630BF"/>
    <w:rsid w:val="00A73B25"/>
    <w:rsid w:val="00A940D3"/>
    <w:rsid w:val="00A96FCA"/>
    <w:rsid w:val="00AA4BE8"/>
    <w:rsid w:val="00AC0AAB"/>
    <w:rsid w:val="00AC5A60"/>
    <w:rsid w:val="00AC7BA9"/>
    <w:rsid w:val="00B0425E"/>
    <w:rsid w:val="00B900E2"/>
    <w:rsid w:val="00B9118E"/>
    <w:rsid w:val="00BD6115"/>
    <w:rsid w:val="00BD684A"/>
    <w:rsid w:val="00C32DAE"/>
    <w:rsid w:val="00C40E24"/>
    <w:rsid w:val="00C61B80"/>
    <w:rsid w:val="00C92D9A"/>
    <w:rsid w:val="00C96EF5"/>
    <w:rsid w:val="00CE0B71"/>
    <w:rsid w:val="00D25064"/>
    <w:rsid w:val="00D32B51"/>
    <w:rsid w:val="00D34668"/>
    <w:rsid w:val="00D3740E"/>
    <w:rsid w:val="00D40335"/>
    <w:rsid w:val="00D6499E"/>
    <w:rsid w:val="00D82F57"/>
    <w:rsid w:val="00D841A5"/>
    <w:rsid w:val="00D844F0"/>
    <w:rsid w:val="00D914D2"/>
    <w:rsid w:val="00DA25DB"/>
    <w:rsid w:val="00DA6A3A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157E4"/>
    <w:rsid w:val="00F33EE3"/>
    <w:rsid w:val="00F4213B"/>
    <w:rsid w:val="00F64455"/>
    <w:rsid w:val="00F806B8"/>
    <w:rsid w:val="00F849ED"/>
    <w:rsid w:val="00F87218"/>
    <w:rsid w:val="00F92398"/>
    <w:rsid w:val="00FB63E7"/>
    <w:rsid w:val="00FD31A0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696C7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31CF7-16AC-42E0-8132-B74BA1CC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4</cp:revision>
  <cp:lastPrinted>2007-07-12T09:53:00Z</cp:lastPrinted>
  <dcterms:created xsi:type="dcterms:W3CDTF">2021-11-25T09:18:00Z</dcterms:created>
  <dcterms:modified xsi:type="dcterms:W3CDTF">2021-11-26T16:26:00Z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